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09.20</w:t>
        <w:br w:type="textWrapping"/>
      </w:r>
      <w:r>
        <w:br w:type="textWrapping"/>
      </w:r>
      <w:r>
        <w:t xml:space="preserve">Pеrоnԁі: Hoje é um dia de celebração, de celebração da coragem, de um povo, de uma gente que não baixa a cabeça, que não desiste dos seus ideais, que tem orgulho do seu jeito de ser.</w:t>
        <w:br w:type="textWrapping"/>
      </w:r>
      <w:r>
        <w:br w:type="textWrapping"/>
      </w:r>
      <w:r>
        <w:t xml:space="preserve">No centro dessa comemoração está também o sentimento de patriotismo. O patriotismo é o amor pelo que herdamos de nossos pais, pela nossa identidade, nossa cultura, nossa terra, nossa gente.</w:t>
        <w:br w:type="textWrapping"/>
      </w:r>
      <w:r>
        <w:br w:type="textWrapping"/>
      </w:r>
      <w:r>
        <w:t xml:space="preserve">Meu respeito, e meu reconhecimento a todos os gaúchos, cuja força e o brio aparecem principalmente em momentos de crise e de provação, como aconteceu recentemente por ocasião das enchentes que assolaram nosso chão. É na força desse povo que encontramos coragem para mudar o futuro, para refazer o plantio dos valores que nossos filhos e netos irão colher logo em breve. Viva o Rio Grande!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>
      <w:rFonts w:ascii="arial" w:hAnsi="arial" w:eastAsia="arial"/>
    </w:rPr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